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EC3FAC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C3FAC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819F82-A42A-4FA9-A4ED-2DA7F0FA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2023-05-29T11:21:00Z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